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376D76">
      <w:r>
        <w:t>Business Flow Chart Assignment</w:t>
      </w:r>
    </w:p>
    <w:p w:rsidR="00376D76" w:rsidRDefault="00376D76">
      <w:r>
        <w:t>Directions:</w:t>
      </w:r>
    </w:p>
    <w:p w:rsidR="00376D76" w:rsidRDefault="00376D76">
      <w:r>
        <w:t>Explain how money is used by the public sector (government), private sector (businesses), and individual households.</w:t>
      </w:r>
    </w:p>
    <w:p w:rsidR="00376D76" w:rsidRDefault="00376D76">
      <w:r>
        <w:t>Use your notes and the business flow chart we discussed in class.</w:t>
      </w:r>
    </w:p>
    <w:p w:rsidR="00376D76" w:rsidRDefault="00376D76"/>
    <w:p w:rsidR="00376D76" w:rsidRDefault="00376D76"/>
    <w:sectPr w:rsidR="00376D76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6D76"/>
    <w:rsid w:val="00376D76"/>
    <w:rsid w:val="00494E43"/>
    <w:rsid w:val="006B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>Technology Information Service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2009-12-22T15:42:00Z</dcterms:created>
  <dcterms:modified xsi:type="dcterms:W3CDTF">2009-12-22T15:44:00Z</dcterms:modified>
</cp:coreProperties>
</file>